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cs="Times New Roman"/>
          <w:b/>
          <w:sz w:val="30"/>
          <w:szCs w:val="30"/>
          <w:lang w:val="en-US" w:eastAsia="zh-CN"/>
        </w:rPr>
      </w:pPr>
      <w:r>
        <w:rPr>
          <w:rFonts w:hint="eastAsia" w:cs="Times New Roman"/>
          <w:b/>
          <w:sz w:val="30"/>
          <w:szCs w:val="30"/>
          <w:lang w:eastAsia="zh-CN"/>
        </w:rPr>
        <w:t>全自动荧光免疫分析仪</w:t>
      </w:r>
      <w:r>
        <w:rPr>
          <w:rFonts w:hint="eastAsia" w:cs="Times New Roman"/>
          <w:b/>
          <w:sz w:val="30"/>
          <w:szCs w:val="30"/>
          <w:lang w:val="en-US" w:eastAsia="zh-CN"/>
        </w:rPr>
        <w:t>3台</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全自动荧光免疫分析仪</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3</w:t>
            </w:r>
          </w:p>
        </w:tc>
      </w:tr>
    </w:tbl>
    <w:p>
      <w:pPr>
        <w:spacing w:line="360" w:lineRule="auto"/>
        <w:ind w:left="-2" w:leftChars="-1" w:firstLine="2"/>
        <w:rPr>
          <w:rFonts w:hint="default" w:ascii="Times New Roman" w:hAnsi="Times New Roman" w:eastAsia="楷体" w:cs="Times New Roman"/>
          <w:b/>
          <w:bCs/>
          <w:sz w:val="22"/>
          <w:szCs w:val="28"/>
          <w:lang w:val="en-US" w:eastAsia="zh-CN"/>
        </w:rPr>
      </w:pPr>
      <w:r>
        <w:rPr>
          <w:rFonts w:hint="eastAsia" w:eastAsia="楷体" w:cs="Times New Roman"/>
          <w:b/>
          <w:bCs/>
          <w:sz w:val="22"/>
          <w:szCs w:val="28"/>
          <w:lang w:eastAsia="zh-CN"/>
        </w:rPr>
        <w:t>项目说明：根据宁医发</w:t>
      </w:r>
      <w:r>
        <w:rPr>
          <w:rFonts w:hint="eastAsia" w:eastAsia="楷体" w:cs="Times New Roman"/>
          <w:b/>
          <w:bCs/>
          <w:sz w:val="22"/>
          <w:szCs w:val="28"/>
          <w:lang w:val="en-US" w:eastAsia="zh-CN"/>
        </w:rPr>
        <w:t>[2021]24号文件精神，该项目为2021年度第二批生物医药创新产品推广使用适配的仪器设备。</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cs="Times New Roman"/>
          <w:color w:val="auto"/>
          <w:sz w:val="24"/>
        </w:rPr>
        <w:t>年</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24</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w:t>
      </w:r>
      <w:bookmarkStart w:id="0" w:name="_GoBack"/>
      <w:bookmarkEnd w:id="0"/>
      <w:r>
        <w:rPr>
          <w:rFonts w:hint="eastAsia"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0DFA0C0A"/>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4F6254E9"/>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A8105C6"/>
    <w:rsid w:val="6D174BB2"/>
    <w:rsid w:val="6FB1376C"/>
    <w:rsid w:val="70EC5B68"/>
    <w:rsid w:val="75E03378"/>
    <w:rsid w:val="761F79CC"/>
    <w:rsid w:val="78B07252"/>
    <w:rsid w:val="7A8A2C5A"/>
    <w:rsid w:val="7B3E31E5"/>
    <w:rsid w:val="7B9E3910"/>
    <w:rsid w:val="7D1658C0"/>
    <w:rsid w:val="7D8C52F1"/>
    <w:rsid w:val="7E8C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30</TotalTime>
  <ScaleCrop>false</ScaleCrop>
  <LinksUpToDate>false</LinksUpToDate>
  <CharactersWithSpaces>1019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2022-01-15T09:12:09Z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81595382916C4EA195AE1667B7D43A95</vt:lpwstr>
  </property>
</Properties>
</file>