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eastAsia" w:cs="Times New Roman"/>
          <w:b/>
          <w:sz w:val="30"/>
          <w:szCs w:val="30"/>
          <w:lang w:eastAsia="zh-CN"/>
        </w:rPr>
      </w:pPr>
      <w:r>
        <w:rPr>
          <w:rFonts w:hint="eastAsia" w:cs="Times New Roman"/>
          <w:b/>
          <w:sz w:val="30"/>
          <w:szCs w:val="30"/>
          <w:lang w:eastAsia="zh-CN"/>
        </w:rPr>
        <w:t>新生儿设备一批、无影灯、产床、婴儿辐射保暖箱、</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空气消毒机、A</w:t>
      </w:r>
      <w:r>
        <w:rPr>
          <w:rFonts w:hint="eastAsia" w:cs="Times New Roman"/>
          <w:b/>
          <w:sz w:val="30"/>
          <w:szCs w:val="30"/>
          <w:lang w:val="en-US" w:eastAsia="zh-CN"/>
        </w:rPr>
        <w:t>/</w:t>
      </w:r>
      <w:r>
        <w:rPr>
          <w:rFonts w:hint="eastAsia" w:cs="Times New Roman"/>
          <w:b/>
          <w:sz w:val="30"/>
          <w:szCs w:val="30"/>
          <w:lang w:eastAsia="zh-CN"/>
        </w:rPr>
        <w:t>B超、电脑验光仪、裂隙灯</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410"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vMerge w:val="restart"/>
            <w:tcBorders>
              <w:top w:val="single" w:color="auto" w:sz="4" w:space="0"/>
              <w:left w:val="single" w:color="auto" w:sz="4" w:space="0"/>
              <w:right w:val="single" w:color="auto" w:sz="4" w:space="0"/>
            </w:tcBorders>
            <w:vAlign w:val="center"/>
          </w:tcPr>
          <w:p>
            <w:pPr>
              <w:jc w:val="left"/>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1</w:t>
            </w:r>
            <w:r>
              <w:rPr>
                <w:rFonts w:hint="eastAsia" w:cs="Times New Roman"/>
                <w:sz w:val="24"/>
                <w:szCs w:val="32"/>
                <w:lang w:eastAsia="zh-CN"/>
              </w:rPr>
              <w:t>、新生儿设备一批</w:t>
            </w:r>
          </w:p>
          <w:p>
            <w:pPr>
              <w:jc w:val="center"/>
              <w:rPr>
                <w:rFonts w:hint="default" w:cs="Times New Roman"/>
                <w:sz w:val="24"/>
                <w:szCs w:val="32"/>
                <w:lang w:val="en-US" w:eastAsia="zh-CN"/>
              </w:rPr>
            </w:pP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胎儿中央监护系统</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vMerge w:val="continue"/>
            <w:tcBorders>
              <w:left w:val="single" w:color="auto" w:sz="4" w:space="0"/>
              <w:right w:val="single" w:color="auto" w:sz="4" w:space="0"/>
            </w:tcBorders>
            <w:vAlign w:val="center"/>
          </w:tcPr>
          <w:p>
            <w:pPr>
              <w:jc w:val="center"/>
              <w:rPr>
                <w:rFonts w:hint="eastAsia" w:ascii="Times New Roman" w:hAnsi="Times New Roman" w:eastAsia="宋体" w:cs="Times New Roman"/>
                <w:sz w:val="24"/>
                <w:szCs w:val="32"/>
                <w:lang w:val="en-US" w:eastAsia="zh-CN"/>
              </w:rPr>
            </w:pP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便携式胎心监护仪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3</w:t>
            </w:r>
          </w:p>
        </w:tc>
      </w:tr>
      <w:tr>
        <w:tblPrEx>
          <w:tblCellMar>
            <w:top w:w="0" w:type="dxa"/>
            <w:left w:w="108" w:type="dxa"/>
            <w:bottom w:w="0" w:type="dxa"/>
            <w:right w:w="108" w:type="dxa"/>
          </w:tblCellMar>
        </w:tblPrEx>
        <w:trPr>
          <w:trHeight w:val="285" w:hRule="atLeast"/>
        </w:trPr>
        <w:tc>
          <w:tcPr>
            <w:tcW w:w="565" w:type="pct"/>
            <w:vMerge w:val="continue"/>
            <w:tcBorders>
              <w:left w:val="single" w:color="auto" w:sz="4" w:space="0"/>
              <w:right w:val="single" w:color="auto" w:sz="4" w:space="0"/>
            </w:tcBorders>
            <w:vAlign w:val="center"/>
          </w:tcPr>
          <w:p>
            <w:pPr>
              <w:jc w:val="center"/>
              <w:rPr>
                <w:rFonts w:hint="default" w:cs="Times New Roman"/>
                <w:sz w:val="24"/>
                <w:szCs w:val="32"/>
                <w:lang w:val="en-US" w:eastAsia="zh-CN"/>
              </w:rPr>
            </w:pP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便携式婴儿脉搏血氧仪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r>
        <w:tblPrEx>
          <w:tblCellMar>
            <w:top w:w="0" w:type="dxa"/>
            <w:left w:w="108" w:type="dxa"/>
            <w:bottom w:w="0" w:type="dxa"/>
            <w:right w:w="108" w:type="dxa"/>
          </w:tblCellMar>
        </w:tblPrEx>
        <w:trPr>
          <w:trHeight w:val="285" w:hRule="atLeast"/>
        </w:trPr>
        <w:tc>
          <w:tcPr>
            <w:tcW w:w="565" w:type="pct"/>
            <w:vMerge w:val="continue"/>
            <w:tcBorders>
              <w:left w:val="single" w:color="auto" w:sz="4" w:space="0"/>
              <w:right w:val="single" w:color="auto" w:sz="4" w:space="0"/>
            </w:tcBorders>
            <w:vAlign w:val="center"/>
          </w:tcPr>
          <w:p>
            <w:pPr>
              <w:jc w:val="center"/>
              <w:rPr>
                <w:rFonts w:hint="eastAsia" w:cs="Times New Roman"/>
                <w:sz w:val="24"/>
                <w:szCs w:val="32"/>
                <w:lang w:val="en-US" w:eastAsia="zh-CN"/>
              </w:rPr>
            </w:pP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经皮黄疸仪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vMerge w:val="continue"/>
            <w:tcBorders>
              <w:left w:val="single" w:color="auto" w:sz="4" w:space="0"/>
              <w:right w:val="single" w:color="auto" w:sz="4" w:space="0"/>
            </w:tcBorders>
            <w:vAlign w:val="center"/>
          </w:tcPr>
          <w:p>
            <w:pPr>
              <w:jc w:val="center"/>
              <w:rPr>
                <w:rFonts w:hint="eastAsia" w:cs="Times New Roman"/>
                <w:sz w:val="24"/>
                <w:szCs w:val="32"/>
                <w:lang w:val="en-US" w:eastAsia="zh-CN"/>
              </w:rPr>
            </w:pP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新生儿听力测试仪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vMerge w:val="continue"/>
            <w:tcBorders>
              <w:left w:val="single" w:color="auto" w:sz="4" w:space="0"/>
              <w:right w:val="single" w:color="auto" w:sz="4" w:space="0"/>
            </w:tcBorders>
            <w:vAlign w:val="center"/>
          </w:tcPr>
          <w:p>
            <w:pPr>
              <w:jc w:val="center"/>
              <w:rPr>
                <w:rFonts w:hint="eastAsia" w:cs="Times New Roman"/>
                <w:sz w:val="24"/>
                <w:szCs w:val="32"/>
                <w:lang w:val="en-US" w:eastAsia="zh-CN"/>
              </w:rPr>
            </w:pP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新生儿气管插管设备</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r>
        <w:tblPrEx>
          <w:tblCellMar>
            <w:top w:w="0" w:type="dxa"/>
            <w:left w:w="108" w:type="dxa"/>
            <w:bottom w:w="0" w:type="dxa"/>
            <w:right w:w="108" w:type="dxa"/>
          </w:tblCellMar>
        </w:tblPrEx>
        <w:trPr>
          <w:trHeight w:val="285" w:hRule="atLeast"/>
        </w:trPr>
        <w:tc>
          <w:tcPr>
            <w:tcW w:w="565" w:type="pct"/>
            <w:vMerge w:val="continue"/>
            <w:tcBorders>
              <w:left w:val="single" w:color="auto" w:sz="4" w:space="0"/>
              <w:right w:val="single" w:color="auto" w:sz="4" w:space="0"/>
            </w:tcBorders>
            <w:vAlign w:val="center"/>
          </w:tcPr>
          <w:p>
            <w:pPr>
              <w:jc w:val="center"/>
              <w:rPr>
                <w:rFonts w:hint="eastAsia" w:cs="Times New Roman"/>
                <w:sz w:val="24"/>
                <w:szCs w:val="32"/>
                <w:lang w:val="en-US" w:eastAsia="zh-CN"/>
              </w:rPr>
            </w:pP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儿童洗澡池</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vMerge w:val="continue"/>
            <w:tcBorders>
              <w:left w:val="single" w:color="auto" w:sz="4" w:space="0"/>
              <w:bottom w:val="single" w:color="auto" w:sz="4" w:space="0"/>
              <w:right w:val="single" w:color="auto" w:sz="4" w:space="0"/>
            </w:tcBorders>
            <w:vAlign w:val="center"/>
          </w:tcPr>
          <w:p>
            <w:pPr>
              <w:jc w:val="center"/>
              <w:rPr>
                <w:rFonts w:hint="eastAsia" w:cs="Times New Roman"/>
                <w:sz w:val="24"/>
                <w:szCs w:val="32"/>
                <w:lang w:val="en-US" w:eastAsia="zh-CN"/>
              </w:rPr>
            </w:pP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婴儿抚触台</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2</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无影灯</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2+3</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3</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产床</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4</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婴儿辐射保暖箱</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3</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5</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空气消毒机</w:t>
            </w:r>
          </w:p>
        </w:tc>
        <w:tc>
          <w:tcPr>
            <w:tcW w:w="713"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协议供货</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6</w:t>
            </w:r>
          </w:p>
        </w:tc>
        <w:tc>
          <w:tcPr>
            <w:tcW w:w="3721"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A/B超</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7</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电脑验光仪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协议供货</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sz w:val="24"/>
                <w:szCs w:val="32"/>
                <w:lang w:val="en-US" w:eastAsia="zh-CN"/>
              </w:rPr>
            </w:pPr>
            <w:r>
              <w:rPr>
                <w:rFonts w:hint="eastAsia" w:cs="Times New Roman"/>
                <w:sz w:val="24"/>
                <w:szCs w:val="32"/>
                <w:lang w:val="en-US" w:eastAsia="zh-CN"/>
              </w:rPr>
              <w:t>8</w:t>
            </w:r>
          </w:p>
        </w:tc>
        <w:tc>
          <w:tcPr>
            <w:tcW w:w="3721"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裂隙灯</w:t>
            </w:r>
          </w:p>
        </w:tc>
        <w:tc>
          <w:tcPr>
            <w:tcW w:w="713"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协议供货</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9</w:t>
      </w:r>
      <w:r>
        <w:rPr>
          <w:rFonts w:hint="default" w:ascii="Times New Roman" w:hAnsi="Times New Roman" w:cs="Times New Roman"/>
          <w:color w:val="auto"/>
          <w:sz w:val="24"/>
        </w:rPr>
        <w:t>月</w:t>
      </w:r>
      <w:r>
        <w:rPr>
          <w:rFonts w:hint="eastAsia" w:cs="Times New Roman"/>
          <w:color w:val="auto"/>
          <w:sz w:val="24"/>
          <w:lang w:val="en-US" w:eastAsia="zh-CN"/>
        </w:rPr>
        <w:t>22</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w:t>
      </w:r>
      <w:r>
        <w:rPr>
          <w:rFonts w:hint="default" w:ascii="Times New Roman" w:hAnsi="Times New Roman" w:cs="Times New Roman"/>
          <w:color w:val="auto"/>
          <w:sz w:val="24"/>
        </w:rPr>
        <w:t>：</w:t>
      </w:r>
      <w:r>
        <w:rPr>
          <w:rFonts w:hint="eastAsia" w:cs="Times New Roman"/>
          <w:color w:val="auto"/>
          <w:sz w:val="24"/>
          <w:lang w:val="en-US" w:eastAsia="zh-CN"/>
        </w:rPr>
        <w:t>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default" w:ascii="Times New Roman" w:hAnsi="Times New Roman" w:cs="Times New Roman"/>
          <w:sz w:val="24"/>
          <w:lang w:val="en-US" w:eastAsia="zh-CN"/>
        </w:rPr>
        <w:t>30</w:t>
      </w:r>
      <w:r>
        <w:rPr>
          <w:rFonts w:hint="default" w:ascii="Times New Roman" w:hAnsi="Times New Roman" w:cs="Times New Roman"/>
          <w:sz w:val="24"/>
        </w:rPr>
        <w:t>~5:</w:t>
      </w:r>
      <w:r>
        <w:rPr>
          <w:rFonts w:hint="default" w:ascii="Times New Roman" w:hAnsi="Times New Roman" w:cs="Times New Roman"/>
          <w:sz w:val="24"/>
          <w:lang w:val="en-US" w:eastAsia="zh-CN"/>
        </w:rPr>
        <w:t>30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肖</w:t>
      </w:r>
      <w:r>
        <w:rPr>
          <w:rFonts w:hint="eastAsia" w:cs="Times New Roman"/>
          <w:sz w:val="24"/>
          <w:lang w:val="en-US"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30323924"/>
    <w:rsid w:val="310330B9"/>
    <w:rsid w:val="32805CE6"/>
    <w:rsid w:val="33A2360A"/>
    <w:rsid w:val="33CA31E9"/>
    <w:rsid w:val="351B0AC6"/>
    <w:rsid w:val="370C30C1"/>
    <w:rsid w:val="37480B70"/>
    <w:rsid w:val="3B487EEC"/>
    <w:rsid w:val="3C386434"/>
    <w:rsid w:val="3C5A2934"/>
    <w:rsid w:val="3E010F72"/>
    <w:rsid w:val="3F1A70D0"/>
    <w:rsid w:val="3F857683"/>
    <w:rsid w:val="44062775"/>
    <w:rsid w:val="463437B9"/>
    <w:rsid w:val="472F3DD6"/>
    <w:rsid w:val="4835248C"/>
    <w:rsid w:val="48C72BDD"/>
    <w:rsid w:val="49C82FF6"/>
    <w:rsid w:val="4BB82F40"/>
    <w:rsid w:val="4BDE03B6"/>
    <w:rsid w:val="4CD126A5"/>
    <w:rsid w:val="4EBF2B5A"/>
    <w:rsid w:val="50B01590"/>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7</TotalTime>
  <ScaleCrop>false</ScaleCrop>
  <LinksUpToDate>false</LinksUpToDate>
  <CharactersWithSpaces>1019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2021-09-15T00:44:53Z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