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运动医学系统设备一批（紫东分院）、直细宫腔镜头及其配件、二氧化碳激光治疗仪、光动力治疗系统、体位垫（协议供货）</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760"/>
        <w:gridCol w:w="2152"/>
        <w:gridCol w:w="4327"/>
        <w:gridCol w:w="1280"/>
      </w:tblGrid>
      <w:tr>
        <w:tblPrEx>
          <w:tblCellMar>
            <w:top w:w="0" w:type="dxa"/>
            <w:left w:w="108" w:type="dxa"/>
            <w:bottom w:w="0" w:type="dxa"/>
            <w:right w:w="108" w:type="dxa"/>
          </w:tblCellMar>
        </w:tblPrEx>
        <w:trPr>
          <w:trHeight w:val="285" w:hRule="atLeast"/>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802" w:type="pct"/>
            <w:gridSpan w:val="2"/>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51"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446" w:type="pct"/>
            <w:vMerge w:val="restart"/>
            <w:tcBorders>
              <w:top w:val="single" w:color="auto" w:sz="4" w:space="0"/>
              <w:left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rPr>
              <w:t>1</w:t>
            </w:r>
          </w:p>
        </w:tc>
        <w:tc>
          <w:tcPr>
            <w:tcW w:w="1263" w:type="pct"/>
            <w:vMerge w:val="restart"/>
            <w:tcBorders>
              <w:top w:val="single" w:color="auto" w:sz="4" w:space="0"/>
              <w:left w:val="nil"/>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运动医学系统设备一批（紫东分院）</w:t>
            </w:r>
          </w:p>
        </w:tc>
        <w:tc>
          <w:tcPr>
            <w:tcW w:w="2539"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动力系统</w:t>
            </w:r>
          </w:p>
        </w:tc>
        <w:tc>
          <w:tcPr>
            <w:tcW w:w="75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446" w:type="pct"/>
            <w:vMerge w:val="continue"/>
            <w:tcBorders>
              <w:left w:val="single" w:color="auto" w:sz="4" w:space="0"/>
              <w:right w:val="single" w:color="auto" w:sz="4" w:space="0"/>
            </w:tcBorders>
            <w:vAlign w:val="center"/>
          </w:tcPr>
          <w:p>
            <w:pPr>
              <w:jc w:val="center"/>
              <w:rPr>
                <w:rFonts w:hint="default" w:eastAsia="宋体"/>
                <w:sz w:val="24"/>
                <w:szCs w:val="32"/>
                <w:lang w:val="en-US" w:eastAsia="zh-CN"/>
              </w:rPr>
            </w:pPr>
          </w:p>
        </w:tc>
        <w:tc>
          <w:tcPr>
            <w:tcW w:w="1263" w:type="pct"/>
            <w:vMerge w:val="continue"/>
            <w:tcBorders>
              <w:left w:val="nil"/>
              <w:right w:val="single" w:color="auto" w:sz="4" w:space="0"/>
            </w:tcBorders>
            <w:vAlign w:val="center"/>
          </w:tcPr>
          <w:p>
            <w:pPr>
              <w:jc w:val="left"/>
              <w:rPr>
                <w:rFonts w:hint="eastAsia" w:cs="Times New Roman" w:eastAsiaTheme="minorEastAsia"/>
                <w:b w:val="0"/>
                <w:bCs/>
                <w:kern w:val="2"/>
                <w:sz w:val="24"/>
                <w:szCs w:val="24"/>
                <w:lang w:val="en-US" w:eastAsia="zh-CN" w:bidi="ar-SA"/>
              </w:rPr>
            </w:pPr>
          </w:p>
        </w:tc>
        <w:tc>
          <w:tcPr>
            <w:tcW w:w="2539"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关节镜系统</w:t>
            </w:r>
          </w:p>
        </w:tc>
        <w:tc>
          <w:tcPr>
            <w:tcW w:w="75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446" w:type="pct"/>
            <w:vMerge w:val="continue"/>
            <w:tcBorders>
              <w:left w:val="single" w:color="auto" w:sz="4" w:space="0"/>
              <w:right w:val="single" w:color="auto" w:sz="4" w:space="0"/>
            </w:tcBorders>
            <w:vAlign w:val="center"/>
          </w:tcPr>
          <w:p>
            <w:pPr>
              <w:jc w:val="center"/>
              <w:rPr>
                <w:rFonts w:hint="default"/>
                <w:sz w:val="24"/>
                <w:szCs w:val="32"/>
                <w:lang w:val="en-US" w:eastAsia="zh-CN"/>
              </w:rPr>
            </w:pPr>
          </w:p>
        </w:tc>
        <w:tc>
          <w:tcPr>
            <w:tcW w:w="1263" w:type="pct"/>
            <w:vMerge w:val="continue"/>
            <w:tcBorders>
              <w:left w:val="nil"/>
              <w:right w:val="single" w:color="auto" w:sz="4" w:space="0"/>
            </w:tcBorders>
            <w:vAlign w:val="center"/>
          </w:tcPr>
          <w:p>
            <w:pPr>
              <w:jc w:val="left"/>
              <w:rPr>
                <w:rFonts w:hint="eastAsia" w:cs="Times New Roman" w:eastAsiaTheme="minorEastAsia"/>
                <w:b w:val="0"/>
                <w:bCs/>
                <w:kern w:val="2"/>
                <w:sz w:val="24"/>
                <w:szCs w:val="24"/>
                <w:lang w:val="en-US" w:eastAsia="zh-CN" w:bidi="ar-SA"/>
              </w:rPr>
            </w:pPr>
          </w:p>
        </w:tc>
        <w:tc>
          <w:tcPr>
            <w:tcW w:w="2539"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消融系统</w:t>
            </w:r>
          </w:p>
        </w:tc>
        <w:tc>
          <w:tcPr>
            <w:tcW w:w="751"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446" w:type="pct"/>
            <w:vMerge w:val="continue"/>
            <w:tcBorders>
              <w:left w:val="single" w:color="auto" w:sz="4" w:space="0"/>
              <w:right w:val="single" w:color="auto" w:sz="4" w:space="0"/>
            </w:tcBorders>
            <w:vAlign w:val="center"/>
          </w:tcPr>
          <w:p>
            <w:pPr>
              <w:jc w:val="center"/>
              <w:rPr>
                <w:rFonts w:hint="default"/>
                <w:sz w:val="24"/>
                <w:szCs w:val="32"/>
                <w:lang w:val="en-US" w:eastAsia="zh-CN"/>
              </w:rPr>
            </w:pPr>
          </w:p>
        </w:tc>
        <w:tc>
          <w:tcPr>
            <w:tcW w:w="1263" w:type="pct"/>
            <w:vMerge w:val="continue"/>
            <w:tcBorders>
              <w:left w:val="nil"/>
              <w:right w:val="single" w:color="auto" w:sz="4" w:space="0"/>
            </w:tcBorders>
            <w:vAlign w:val="center"/>
          </w:tcPr>
          <w:p>
            <w:pPr>
              <w:jc w:val="left"/>
              <w:rPr>
                <w:rFonts w:hint="eastAsia" w:cs="Times New Roman" w:eastAsiaTheme="minorEastAsia"/>
                <w:b w:val="0"/>
                <w:bCs/>
                <w:kern w:val="2"/>
                <w:sz w:val="24"/>
                <w:szCs w:val="24"/>
                <w:lang w:val="en-US" w:eastAsia="zh-CN" w:bidi="ar-SA"/>
              </w:rPr>
            </w:pPr>
          </w:p>
        </w:tc>
        <w:tc>
          <w:tcPr>
            <w:tcW w:w="2539"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配套基础器械</w:t>
            </w:r>
          </w:p>
        </w:tc>
        <w:tc>
          <w:tcPr>
            <w:tcW w:w="751"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446" w:type="pct"/>
            <w:vMerge w:val="continue"/>
            <w:tcBorders>
              <w:left w:val="single" w:color="auto" w:sz="4" w:space="0"/>
              <w:right w:val="single" w:color="auto" w:sz="4" w:space="0"/>
            </w:tcBorders>
            <w:vAlign w:val="center"/>
          </w:tcPr>
          <w:p>
            <w:pPr>
              <w:jc w:val="center"/>
              <w:rPr>
                <w:rFonts w:hint="default"/>
                <w:sz w:val="24"/>
                <w:szCs w:val="32"/>
                <w:lang w:val="en-US" w:eastAsia="zh-CN"/>
              </w:rPr>
            </w:pPr>
          </w:p>
        </w:tc>
        <w:tc>
          <w:tcPr>
            <w:tcW w:w="1263" w:type="pct"/>
            <w:vMerge w:val="continue"/>
            <w:tcBorders>
              <w:left w:val="nil"/>
              <w:right w:val="single" w:color="auto" w:sz="4" w:space="0"/>
            </w:tcBorders>
            <w:vAlign w:val="center"/>
          </w:tcPr>
          <w:p>
            <w:pPr>
              <w:jc w:val="left"/>
              <w:rPr>
                <w:rFonts w:hint="eastAsia" w:cs="Times New Roman" w:eastAsiaTheme="minorEastAsia"/>
                <w:b w:val="0"/>
                <w:bCs/>
                <w:kern w:val="2"/>
                <w:sz w:val="24"/>
                <w:szCs w:val="24"/>
                <w:lang w:val="en-US" w:eastAsia="zh-CN" w:bidi="ar-SA"/>
              </w:rPr>
            </w:pPr>
          </w:p>
        </w:tc>
        <w:tc>
          <w:tcPr>
            <w:tcW w:w="2539"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韧带重建工具</w:t>
            </w:r>
          </w:p>
        </w:tc>
        <w:tc>
          <w:tcPr>
            <w:tcW w:w="751"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446" w:type="pct"/>
            <w:vMerge w:val="continue"/>
            <w:tcBorders>
              <w:left w:val="single" w:color="auto" w:sz="4" w:space="0"/>
              <w:right w:val="single" w:color="auto" w:sz="4" w:space="0"/>
            </w:tcBorders>
            <w:vAlign w:val="center"/>
          </w:tcPr>
          <w:p>
            <w:pPr>
              <w:jc w:val="center"/>
              <w:rPr>
                <w:rFonts w:hint="default"/>
                <w:sz w:val="24"/>
                <w:szCs w:val="32"/>
                <w:lang w:val="en-US" w:eastAsia="zh-CN"/>
              </w:rPr>
            </w:pPr>
          </w:p>
        </w:tc>
        <w:tc>
          <w:tcPr>
            <w:tcW w:w="1263" w:type="pct"/>
            <w:vMerge w:val="continue"/>
            <w:tcBorders>
              <w:left w:val="nil"/>
              <w:right w:val="single" w:color="auto" w:sz="4" w:space="0"/>
            </w:tcBorders>
            <w:vAlign w:val="center"/>
          </w:tcPr>
          <w:p>
            <w:pPr>
              <w:jc w:val="left"/>
              <w:rPr>
                <w:rFonts w:hint="eastAsia" w:cs="Times New Roman" w:eastAsiaTheme="minorEastAsia"/>
                <w:b w:val="0"/>
                <w:bCs/>
                <w:kern w:val="2"/>
                <w:sz w:val="24"/>
                <w:szCs w:val="24"/>
                <w:lang w:val="en-US" w:eastAsia="zh-CN" w:bidi="ar-SA"/>
              </w:rPr>
            </w:pPr>
          </w:p>
        </w:tc>
        <w:tc>
          <w:tcPr>
            <w:tcW w:w="2539"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肩袖修补工具</w:t>
            </w:r>
          </w:p>
        </w:tc>
        <w:tc>
          <w:tcPr>
            <w:tcW w:w="751"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446" w:type="pct"/>
            <w:vMerge w:val="continue"/>
            <w:tcBorders>
              <w:left w:val="single" w:color="auto" w:sz="4" w:space="0"/>
              <w:bottom w:val="single" w:color="auto" w:sz="4" w:space="0"/>
              <w:right w:val="single" w:color="auto" w:sz="4" w:space="0"/>
            </w:tcBorders>
            <w:vAlign w:val="center"/>
          </w:tcPr>
          <w:p>
            <w:pPr>
              <w:jc w:val="center"/>
              <w:rPr>
                <w:rFonts w:hint="default"/>
                <w:sz w:val="24"/>
                <w:szCs w:val="32"/>
                <w:lang w:val="en-US" w:eastAsia="zh-CN"/>
              </w:rPr>
            </w:pPr>
          </w:p>
        </w:tc>
        <w:tc>
          <w:tcPr>
            <w:tcW w:w="1263" w:type="pct"/>
            <w:vMerge w:val="continue"/>
            <w:tcBorders>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p>
        </w:tc>
        <w:tc>
          <w:tcPr>
            <w:tcW w:w="2539"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灌注系统</w:t>
            </w:r>
          </w:p>
        </w:tc>
        <w:tc>
          <w:tcPr>
            <w:tcW w:w="751"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c>
          <w:tcPr>
            <w:tcW w:w="3802" w:type="pct"/>
            <w:gridSpan w:val="2"/>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直细宫腔镜头及其配件</w:t>
            </w:r>
          </w:p>
        </w:tc>
        <w:tc>
          <w:tcPr>
            <w:tcW w:w="751"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2</w:t>
            </w:r>
          </w:p>
        </w:tc>
      </w:tr>
      <w:tr>
        <w:tblPrEx>
          <w:tblCellMar>
            <w:top w:w="0" w:type="dxa"/>
            <w:left w:w="108" w:type="dxa"/>
            <w:bottom w:w="0" w:type="dxa"/>
            <w:right w:w="108" w:type="dxa"/>
          </w:tblCellMar>
        </w:tblPrEx>
        <w:trPr>
          <w:trHeight w:val="285" w:hRule="atLeast"/>
        </w:trPr>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c>
          <w:tcPr>
            <w:tcW w:w="3802" w:type="pct"/>
            <w:gridSpan w:val="2"/>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二氧化碳激光治疗仪</w:t>
            </w:r>
          </w:p>
        </w:tc>
        <w:tc>
          <w:tcPr>
            <w:tcW w:w="751"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4</w:t>
            </w:r>
          </w:p>
        </w:tc>
        <w:tc>
          <w:tcPr>
            <w:tcW w:w="3802" w:type="pct"/>
            <w:gridSpan w:val="2"/>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光动力治疗系统</w:t>
            </w:r>
          </w:p>
        </w:tc>
        <w:tc>
          <w:tcPr>
            <w:tcW w:w="751"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5</w:t>
            </w:r>
          </w:p>
        </w:tc>
        <w:tc>
          <w:tcPr>
            <w:tcW w:w="3802" w:type="pct"/>
            <w:gridSpan w:val="2"/>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体位垫（紫东分院＋本部）</w:t>
            </w:r>
          </w:p>
        </w:tc>
        <w:tc>
          <w:tcPr>
            <w:tcW w:w="751" w:type="pct"/>
            <w:tcBorders>
              <w:top w:val="single" w:color="auto" w:sz="4" w:space="0"/>
              <w:left w:val="nil"/>
              <w:bottom w:val="single" w:color="auto" w:sz="4" w:space="0"/>
              <w:right w:val="single" w:color="auto" w:sz="4" w:space="0"/>
            </w:tcBorders>
            <w:vAlign w:val="center"/>
          </w:tcPr>
          <w:p>
            <w:pPr>
              <w:jc w:val="left"/>
              <w:rPr>
                <w:rFonts w:hint="eastAsia" w:cs="Times New Roman"/>
                <w:kern w:val="2"/>
                <w:sz w:val="24"/>
                <w:szCs w:val="32"/>
                <w:lang w:val="en-US" w:eastAsia="zh-CN" w:bidi="ar-SA"/>
              </w:rPr>
            </w:pPr>
            <w:r>
              <w:rPr>
                <w:rFonts w:hint="eastAsia" w:cs="Times New Roman"/>
                <w:kern w:val="2"/>
                <w:sz w:val="24"/>
                <w:szCs w:val="32"/>
                <w:lang w:val="en-US" w:eastAsia="zh-CN" w:bidi="ar-SA"/>
              </w:rPr>
              <w:t>协议供货</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7</w:t>
      </w:r>
      <w:r>
        <w:rPr>
          <w:rFonts w:hint="eastAsia"/>
          <w:color w:val="auto"/>
          <w:sz w:val="24"/>
        </w:rPr>
        <w:t>月</w:t>
      </w:r>
      <w:r>
        <w:rPr>
          <w:rFonts w:hint="eastAsia"/>
          <w:color w:val="auto"/>
          <w:sz w:val="24"/>
          <w:lang w:val="en-US" w:eastAsia="zh-CN"/>
        </w:rPr>
        <w:t>14</w:t>
      </w:r>
      <w:bookmarkStart w:id="0" w:name="_GoBack"/>
      <w:bookmarkEnd w:id="0"/>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30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肖老师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rFonts w:hint="default" w:eastAsia="宋体"/>
          <w:lang w:val="en-US" w:eastAsia="zh-CN"/>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3157256"/>
    <w:rsid w:val="047557BC"/>
    <w:rsid w:val="056A3029"/>
    <w:rsid w:val="05A53369"/>
    <w:rsid w:val="05B36E72"/>
    <w:rsid w:val="05DD12B9"/>
    <w:rsid w:val="067009A1"/>
    <w:rsid w:val="0AE47F38"/>
    <w:rsid w:val="0D050B4E"/>
    <w:rsid w:val="129716E1"/>
    <w:rsid w:val="13DD40A7"/>
    <w:rsid w:val="16421AC3"/>
    <w:rsid w:val="16A6771F"/>
    <w:rsid w:val="18F91491"/>
    <w:rsid w:val="1B25511A"/>
    <w:rsid w:val="1C2157C6"/>
    <w:rsid w:val="23E84E53"/>
    <w:rsid w:val="259B5FBF"/>
    <w:rsid w:val="29B05EB8"/>
    <w:rsid w:val="2A1D1669"/>
    <w:rsid w:val="30323924"/>
    <w:rsid w:val="32805CE6"/>
    <w:rsid w:val="33A2360A"/>
    <w:rsid w:val="33CA31E9"/>
    <w:rsid w:val="370C30C1"/>
    <w:rsid w:val="37480B70"/>
    <w:rsid w:val="3B487EEC"/>
    <w:rsid w:val="3C386434"/>
    <w:rsid w:val="3C5A2934"/>
    <w:rsid w:val="3E010F72"/>
    <w:rsid w:val="3E626509"/>
    <w:rsid w:val="3F0B2CE4"/>
    <w:rsid w:val="3F1A70D0"/>
    <w:rsid w:val="3F857683"/>
    <w:rsid w:val="44062775"/>
    <w:rsid w:val="463437B9"/>
    <w:rsid w:val="48C72BDD"/>
    <w:rsid w:val="49C82FF6"/>
    <w:rsid w:val="4BB82F40"/>
    <w:rsid w:val="4BDE03B6"/>
    <w:rsid w:val="4CD126A5"/>
    <w:rsid w:val="4EBF2B5A"/>
    <w:rsid w:val="50B01590"/>
    <w:rsid w:val="52144BA1"/>
    <w:rsid w:val="52356762"/>
    <w:rsid w:val="562D075A"/>
    <w:rsid w:val="57912A7E"/>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8</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2021-07-07T10:15:46Z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