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52"/>
          <w:szCs w:val="52"/>
        </w:rPr>
      </w:pPr>
      <w:r>
        <w:rPr>
          <w:rFonts w:hint="eastAsia" w:ascii="黑体" w:hAnsi="黑体" w:eastAsia="黑体" w:cs="黑体"/>
          <w:b/>
          <w:sz w:val="52"/>
          <w:szCs w:val="52"/>
        </w:rPr>
        <w:t xml:space="preserve">江苏省中医院医疗设备招标公告- </w:t>
      </w:r>
    </w:p>
    <w:p>
      <w:pPr>
        <w:spacing w:line="360" w:lineRule="auto"/>
        <w:jc w:val="center"/>
        <w:rPr>
          <w:rFonts w:hint="eastAsia"/>
          <w:b/>
          <w:sz w:val="30"/>
          <w:szCs w:val="30"/>
          <w:lang w:eastAsia="zh-CN"/>
        </w:rPr>
      </w:pPr>
      <w:r>
        <w:rPr>
          <w:rFonts w:hint="eastAsia"/>
          <w:b/>
          <w:sz w:val="30"/>
          <w:szCs w:val="30"/>
          <w:lang w:eastAsia="zh-CN"/>
        </w:rPr>
        <w:t>动态血压和中心动脉血压记录分析系统</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1365"/>
        <w:gridCol w:w="5581"/>
        <w:gridCol w:w="1573"/>
      </w:tblGrid>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3275"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923"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sz w:val="24"/>
                <w:szCs w:val="32"/>
              </w:rPr>
            </w:pPr>
            <w:r>
              <w:rPr>
                <w:rFonts w:hint="eastAsia"/>
                <w:sz w:val="24"/>
                <w:szCs w:val="32"/>
              </w:rPr>
              <w:t>1</w:t>
            </w:r>
          </w:p>
        </w:tc>
        <w:tc>
          <w:tcPr>
            <w:tcW w:w="3275" w:type="pct"/>
            <w:tcBorders>
              <w:top w:val="single" w:color="auto" w:sz="4" w:space="0"/>
              <w:left w:val="nil"/>
              <w:bottom w:val="single" w:color="auto" w:sz="4" w:space="0"/>
              <w:right w:val="single" w:color="auto" w:sz="4" w:space="0"/>
            </w:tcBorders>
            <w:vAlign w:val="center"/>
          </w:tcPr>
          <w:p>
            <w:pPr>
              <w:jc w:val="center"/>
              <w:rPr>
                <w:rFonts w:hint="eastAsia" w:eastAsia="宋体"/>
                <w:b w:val="0"/>
                <w:bCs/>
                <w:sz w:val="24"/>
                <w:szCs w:val="24"/>
                <w:lang w:eastAsia="zh-CN"/>
              </w:rPr>
            </w:pPr>
            <w:r>
              <w:rPr>
                <w:rFonts w:hint="eastAsia"/>
                <w:b w:val="0"/>
                <w:bCs/>
                <w:sz w:val="24"/>
                <w:szCs w:val="24"/>
                <w:lang w:eastAsia="zh-CN"/>
              </w:rPr>
              <w:t>动态血压和中心动脉血压记录分析系统</w:t>
            </w:r>
          </w:p>
        </w:tc>
        <w:tc>
          <w:tcPr>
            <w:tcW w:w="923" w:type="pct"/>
            <w:tcBorders>
              <w:top w:val="single" w:color="auto" w:sz="4" w:space="0"/>
              <w:left w:val="nil"/>
              <w:bottom w:val="single" w:color="auto" w:sz="4" w:space="0"/>
              <w:right w:val="single" w:color="auto" w:sz="4" w:space="0"/>
            </w:tcBorders>
            <w:vAlign w:val="center"/>
          </w:tcPr>
          <w:p>
            <w:pPr>
              <w:jc w:val="center"/>
              <w:rPr>
                <w:rFonts w:hint="default" w:eastAsia="宋体"/>
                <w:sz w:val="24"/>
                <w:szCs w:val="32"/>
                <w:lang w:val="en-US" w:eastAsia="zh-CN"/>
              </w:rPr>
            </w:pPr>
            <w:r>
              <w:rPr>
                <w:rFonts w:hint="eastAsia"/>
                <w:sz w:val="24"/>
                <w:szCs w:val="32"/>
                <w:lang w:val="en-US" w:eastAsia="zh-CN"/>
              </w:rPr>
              <w:t>18</w:t>
            </w:r>
          </w:p>
        </w:tc>
      </w:tr>
    </w:tbl>
    <w:p>
      <w:pPr>
        <w:widowControl w:val="0"/>
        <w:numPr>
          <w:numId w:val="0"/>
        </w:numPr>
        <w:adjustRightInd/>
        <w:snapToGrid/>
        <w:spacing w:after="0" w:line="360" w:lineRule="auto"/>
        <w:ind w:leftChars="0" w:firstLine="442" w:firstLineChars="200"/>
        <w:jc w:val="both"/>
        <w:rPr>
          <w:rFonts w:hint="eastAsia" w:ascii="楷体" w:hAnsi="楷体" w:eastAsia="楷体" w:cs="楷体"/>
          <w:b/>
          <w:bCs/>
          <w:sz w:val="22"/>
          <w:szCs w:val="28"/>
          <w:lang w:eastAsia="zh-CN"/>
        </w:rPr>
      </w:pPr>
      <w:r>
        <w:rPr>
          <w:rFonts w:hint="eastAsia" w:ascii="楷体" w:hAnsi="楷体" w:eastAsia="楷体" w:cs="楷体"/>
          <w:b/>
          <w:bCs/>
          <w:sz w:val="22"/>
          <w:szCs w:val="28"/>
          <w:lang w:eastAsia="zh-CN"/>
        </w:rPr>
        <w:t>主要技术参数要求：</w:t>
      </w:r>
    </w:p>
    <w:p>
      <w:pPr>
        <w:pStyle w:val="8"/>
        <w:keepNext w:val="0"/>
        <w:keepLines w:val="0"/>
        <w:pageBreakBefore w:val="0"/>
        <w:widowControl w:val="0"/>
        <w:numPr>
          <w:numId w:val="0"/>
        </w:numPr>
        <w:kinsoku/>
        <w:wordWrap/>
        <w:overflowPunct/>
        <w:topLinePunct w:val="0"/>
        <w:autoSpaceDE/>
        <w:autoSpaceDN/>
        <w:bidi w:val="0"/>
        <w:adjustRightInd w:val="0"/>
        <w:snapToGrid w:val="0"/>
        <w:spacing w:line="360" w:lineRule="auto"/>
        <w:ind w:left="0" w:leftChars="0" w:firstLine="420" w:firstLineChars="200"/>
        <w:contextualSpacing/>
        <w:jc w:val="left"/>
        <w:textAlignment w:val="auto"/>
        <w:rPr>
          <w:rFonts w:hint="default" w:ascii="Times New Roman" w:hAnsi="Times New Roman" w:cs="Times New Roman"/>
          <w:szCs w:val="21"/>
        </w:rPr>
      </w:pPr>
      <w:r>
        <w:rPr>
          <w:rFonts w:hint="eastAsia" w:cs="Times New Roman"/>
          <w:szCs w:val="21"/>
          <w:lang w:val="en-US" w:eastAsia="zh-CN"/>
        </w:rPr>
        <w:t>1、</w:t>
      </w:r>
      <w:r>
        <w:rPr>
          <w:rFonts w:hint="default" w:ascii="Times New Roman" w:hAnsi="Times New Roman" w:cs="Times New Roman"/>
          <w:szCs w:val="21"/>
        </w:rPr>
        <w:t>原装进口，非国内生产。需提供进口医疗器械注册证、报关单及商检证明</w:t>
      </w:r>
      <w:bookmarkStart w:id="0" w:name="_GoBack"/>
      <w:bookmarkEnd w:id="0"/>
    </w:p>
    <w:p>
      <w:pPr>
        <w:pStyle w:val="8"/>
        <w:keepNext w:val="0"/>
        <w:keepLines w:val="0"/>
        <w:pageBreakBefore w:val="0"/>
        <w:widowControl w:val="0"/>
        <w:numPr>
          <w:numId w:val="0"/>
        </w:numPr>
        <w:kinsoku/>
        <w:wordWrap/>
        <w:overflowPunct/>
        <w:topLinePunct w:val="0"/>
        <w:autoSpaceDE/>
        <w:autoSpaceDN/>
        <w:bidi w:val="0"/>
        <w:adjustRightInd w:val="0"/>
        <w:snapToGrid w:val="0"/>
        <w:spacing w:line="360" w:lineRule="auto"/>
        <w:ind w:left="0" w:leftChars="0" w:firstLine="420" w:firstLineChars="200"/>
        <w:contextualSpacing/>
        <w:jc w:val="left"/>
        <w:textAlignment w:val="auto"/>
        <w:rPr>
          <w:rFonts w:hint="default" w:ascii="Times New Roman" w:hAnsi="Times New Roman" w:cs="Times New Roman"/>
          <w:szCs w:val="21"/>
        </w:rPr>
      </w:pPr>
      <w:r>
        <w:rPr>
          <w:rFonts w:hint="eastAsia" w:cs="Times New Roman"/>
          <w:szCs w:val="21"/>
          <w:lang w:val="en-US" w:eastAsia="zh-CN"/>
        </w:rPr>
        <w:t>2、</w:t>
      </w:r>
      <w:r>
        <w:rPr>
          <w:rFonts w:hint="default" w:ascii="Times New Roman" w:hAnsi="Times New Roman" w:cs="Times New Roman"/>
          <w:szCs w:val="21"/>
        </w:rPr>
        <w:t>测量方法：示波法</w:t>
      </w:r>
    </w:p>
    <w:p>
      <w:pPr>
        <w:pStyle w:val="8"/>
        <w:keepNext w:val="0"/>
        <w:keepLines w:val="0"/>
        <w:pageBreakBefore w:val="0"/>
        <w:widowControl w:val="0"/>
        <w:numPr>
          <w:numId w:val="0"/>
        </w:numPr>
        <w:kinsoku/>
        <w:wordWrap/>
        <w:overflowPunct/>
        <w:topLinePunct w:val="0"/>
        <w:autoSpaceDE/>
        <w:autoSpaceDN/>
        <w:bidi w:val="0"/>
        <w:adjustRightInd w:val="0"/>
        <w:snapToGrid w:val="0"/>
        <w:spacing w:line="360" w:lineRule="auto"/>
        <w:ind w:left="0" w:leftChars="0" w:firstLine="420" w:firstLineChars="200"/>
        <w:contextualSpacing/>
        <w:jc w:val="left"/>
        <w:textAlignment w:val="auto"/>
        <w:rPr>
          <w:rFonts w:hint="default" w:ascii="Times New Roman" w:hAnsi="Times New Roman" w:cs="Times New Roman"/>
          <w:szCs w:val="21"/>
        </w:rPr>
      </w:pPr>
      <w:r>
        <w:rPr>
          <w:rFonts w:hint="eastAsia" w:cs="Times New Roman"/>
          <w:szCs w:val="21"/>
          <w:lang w:val="en-US" w:eastAsia="zh-CN"/>
        </w:rPr>
        <w:t>3、</w:t>
      </w:r>
      <w:r>
        <w:rPr>
          <w:rFonts w:hint="default" w:ascii="Times New Roman" w:hAnsi="Times New Roman" w:cs="Times New Roman"/>
          <w:szCs w:val="21"/>
        </w:rPr>
        <w:t>收缩压测量范围：60-290mmHg，舒张压测量范围：30-195mmHg，静态压力范围：0-300mmHg</w:t>
      </w:r>
    </w:p>
    <w:p>
      <w:pPr>
        <w:pStyle w:val="8"/>
        <w:keepNext w:val="0"/>
        <w:keepLines w:val="0"/>
        <w:pageBreakBefore w:val="0"/>
        <w:widowControl w:val="0"/>
        <w:numPr>
          <w:numId w:val="0"/>
        </w:numPr>
        <w:kinsoku/>
        <w:wordWrap/>
        <w:overflowPunct/>
        <w:topLinePunct w:val="0"/>
        <w:autoSpaceDE/>
        <w:autoSpaceDN/>
        <w:bidi w:val="0"/>
        <w:adjustRightInd w:val="0"/>
        <w:snapToGrid w:val="0"/>
        <w:spacing w:line="360" w:lineRule="auto"/>
        <w:ind w:left="0" w:leftChars="0" w:firstLine="420" w:firstLineChars="200"/>
        <w:contextualSpacing/>
        <w:jc w:val="left"/>
        <w:textAlignment w:val="auto"/>
        <w:rPr>
          <w:rFonts w:hint="default" w:ascii="Times New Roman" w:hAnsi="Times New Roman" w:eastAsia="楷体" w:cs="Times New Roman"/>
          <w:b/>
          <w:bCs/>
          <w:sz w:val="22"/>
          <w:szCs w:val="28"/>
          <w:lang w:val="en-US" w:eastAsia="zh-CN"/>
        </w:rPr>
      </w:pPr>
      <w:r>
        <w:rPr>
          <w:rFonts w:hint="default" w:ascii="Times New Roman" w:hAnsi="Times New Roman" w:cs="Times New Roman"/>
          <w:szCs w:val="21"/>
          <w:lang w:val="en-US" w:eastAsia="zh-CN"/>
        </w:rPr>
        <w:t>4、</w:t>
      </w:r>
      <w:r>
        <w:rPr>
          <w:rFonts w:hint="default" w:ascii="Times New Roman" w:hAnsi="Times New Roman" w:cs="Times New Roman"/>
          <w:szCs w:val="21"/>
        </w:rPr>
        <w:t>协议内每小时最小测量间隔：30次/小时。需提供原厂产品技术手册（说明书）中相关页面内容证明。</w:t>
      </w:r>
    </w:p>
    <w:p>
      <w:pPr>
        <w:keepNext w:val="0"/>
        <w:keepLines w:val="0"/>
        <w:pageBreakBefore w:val="0"/>
        <w:widowControl w:val="0"/>
        <w:numPr>
          <w:numId w:val="0"/>
        </w:numPr>
        <w:kinsoku/>
        <w:wordWrap/>
        <w:overflowPunct/>
        <w:topLinePunct w:val="0"/>
        <w:autoSpaceDE/>
        <w:autoSpaceDN/>
        <w:bidi w:val="0"/>
        <w:adjustRightInd/>
        <w:snapToGrid/>
        <w:spacing w:after="0" w:line="360" w:lineRule="auto"/>
        <w:ind w:left="0" w:leftChars="0" w:firstLine="420" w:firstLineChars="200"/>
        <w:jc w:val="both"/>
        <w:textAlignment w:val="auto"/>
        <w:rPr>
          <w:rFonts w:hint="default" w:ascii="Times New Roman" w:hAnsi="Times New Roman" w:eastAsia="楷体" w:cs="Times New Roman"/>
          <w:b/>
          <w:bCs/>
          <w:sz w:val="22"/>
          <w:szCs w:val="28"/>
          <w:lang w:eastAsia="zh-CN"/>
        </w:rPr>
      </w:pPr>
      <w:r>
        <w:rPr>
          <w:rFonts w:hint="default" w:ascii="Times New Roman" w:hAnsi="Times New Roman" w:cs="Times New Roman"/>
          <w:bCs/>
          <w:color w:val="000000"/>
          <w:szCs w:val="21"/>
          <w:highlight w:val="none"/>
          <w:lang w:val="en-US" w:eastAsia="zh-CN"/>
        </w:rPr>
        <w:t>5、</w:t>
      </w:r>
      <w:r>
        <w:rPr>
          <w:rFonts w:hint="default" w:ascii="Times New Roman" w:hAnsi="Times New Roman" w:cs="Times New Roman"/>
          <w:bCs/>
          <w:color w:val="000000"/>
          <w:szCs w:val="21"/>
          <w:highlight w:val="none"/>
          <w:lang w:eastAsia="zh-CN"/>
        </w:rPr>
        <w:t>投标产品</w:t>
      </w:r>
      <w:r>
        <w:rPr>
          <w:rFonts w:hint="default" w:ascii="Times New Roman" w:hAnsi="Times New Roman" w:eastAsia="宋体" w:cs="Times New Roman"/>
          <w:bCs/>
          <w:color w:val="000000"/>
          <w:szCs w:val="21"/>
          <w:highlight w:val="none"/>
        </w:rPr>
        <w:t>除了提供24小时动态血压检测，24小时中心动脉血压检测，还</w:t>
      </w:r>
      <w:r>
        <w:rPr>
          <w:rFonts w:hint="default" w:ascii="Times New Roman" w:hAnsi="Times New Roman" w:cs="Times New Roman"/>
          <w:bCs/>
          <w:color w:val="000000"/>
          <w:szCs w:val="21"/>
          <w:highlight w:val="none"/>
          <w:lang w:eastAsia="zh-CN"/>
        </w:rPr>
        <w:t>必须具备</w:t>
      </w:r>
      <w:r>
        <w:rPr>
          <w:rFonts w:hint="default" w:ascii="Times New Roman" w:hAnsi="Times New Roman" w:eastAsia="宋体" w:cs="Times New Roman"/>
          <w:bCs/>
          <w:color w:val="000000"/>
          <w:szCs w:val="21"/>
          <w:highlight w:val="none"/>
        </w:rPr>
        <w:t>门诊脉搏波（PWA）的测量</w:t>
      </w:r>
      <w:r>
        <w:rPr>
          <w:rFonts w:hint="default" w:ascii="Times New Roman" w:hAnsi="Times New Roman" w:cs="Times New Roman"/>
          <w:bCs/>
          <w:color w:val="000000"/>
          <w:szCs w:val="21"/>
          <w:highlight w:val="none"/>
          <w:lang w:eastAsia="zh-CN"/>
        </w:rPr>
        <w:t>的功能</w:t>
      </w:r>
      <w:r>
        <w:rPr>
          <w:rFonts w:hint="default" w:ascii="Times New Roman" w:hAnsi="Times New Roman" w:eastAsia="宋体" w:cs="Times New Roman"/>
          <w:bCs/>
          <w:color w:val="000000"/>
          <w:szCs w:val="21"/>
          <w:highlight w:val="none"/>
        </w:rPr>
        <w:t>（测量方式包含单次PWA测量，三次连续PWA测量）。</w:t>
      </w:r>
    </w:p>
    <w:p>
      <w:pPr>
        <w:spacing w:line="360" w:lineRule="auto"/>
        <w:ind w:left="-2" w:leftChars="-1" w:firstLine="2"/>
        <w:rPr>
          <w:rFonts w:hint="default" w:ascii="Times New Roman" w:hAnsi="Times New Roman" w:eastAsia="楷体" w:cs="Times New Roman"/>
          <w:b/>
          <w:bCs/>
          <w:sz w:val="24"/>
        </w:rPr>
      </w:pPr>
      <w:r>
        <w:rPr>
          <w:rFonts w:hint="default" w:ascii="Times New Roman" w:hAnsi="Times New Roman" w:eastAsia="楷体" w:cs="Times New Roman"/>
          <w:b/>
          <w:bCs/>
          <w:sz w:val="22"/>
          <w:szCs w:val="28"/>
        </w:rPr>
        <w:t>二、</w:t>
      </w:r>
      <w:r>
        <w:rPr>
          <w:rFonts w:hint="default" w:ascii="Times New Roman" w:hAnsi="Times New Roman" w:eastAsia="楷体" w:cs="Times New Roman"/>
          <w:b/>
          <w:bCs/>
          <w:sz w:val="24"/>
        </w:rPr>
        <w:t>投标人资格要求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投标人应具备的资格或业绩：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合格货源国限制：凡是来自中华人民共和国国内或与中华人民共和国有正常贸易往来的国家和地区的投标人均可投标。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sz w:val="24"/>
        </w:rPr>
      </w:pPr>
      <w:r>
        <w:rPr>
          <w:rFonts w:hint="eastAsia"/>
          <w:sz w:val="24"/>
        </w:rPr>
        <w:t>合格的投标人资格：符合采购法及采购法实施条例有关合格投标人的相关规定。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①须在中华人民共和国境内合法注册、有法人资格和经营许可，需提供法人营业执照副本、税务（国税、地税）登记证、组织机构代码证；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②近三年内，在经营活动中没有重大违法记录；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③具有设备制造商提供的授权书（代理商做为投标人参与投标）；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⑤提供有效的中华人民共和国医疗器械注册证、医疗器械产品注册登记表、医疗器械经营许可证。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→医院官网→设备招标→设备管理→文件下载→《江苏省中医院医疗设备投标文件范例20</w:t>
      </w:r>
      <w:r>
        <w:rPr>
          <w:rFonts w:hint="eastAsia"/>
          <w:color w:val="000000"/>
          <w:sz w:val="24"/>
          <w:u w:val="single"/>
          <w:lang w:val="en-US" w:eastAsia="zh-CN"/>
        </w:rPr>
        <w:t>21</w:t>
      </w:r>
      <w:r>
        <w:rPr>
          <w:rFonts w:hint="eastAsia"/>
          <w:color w:val="000000"/>
          <w:sz w:val="24"/>
          <w:u w:val="single"/>
        </w:rPr>
        <w:t>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sz w:val="24"/>
        </w:rPr>
      </w:pPr>
      <w:r>
        <w:rPr>
          <w:rFonts w:hint="eastAsia"/>
          <w:sz w:val="24"/>
        </w:rPr>
        <w:t>投标文件接收截止时间：</w:t>
      </w:r>
      <w:r>
        <w:rPr>
          <w:rFonts w:hint="eastAsia"/>
          <w:color w:val="auto"/>
          <w:sz w:val="24"/>
        </w:rPr>
        <w:t xml:space="preserve"> 20</w:t>
      </w:r>
      <w:r>
        <w:rPr>
          <w:rFonts w:hint="eastAsia"/>
          <w:color w:val="auto"/>
          <w:sz w:val="24"/>
          <w:lang w:val="en-US" w:eastAsia="zh-CN"/>
        </w:rPr>
        <w:t>21</w:t>
      </w:r>
      <w:r>
        <w:rPr>
          <w:rFonts w:hint="eastAsia"/>
          <w:color w:val="auto"/>
          <w:sz w:val="24"/>
        </w:rPr>
        <w:t>年</w:t>
      </w:r>
      <w:r>
        <w:rPr>
          <w:rFonts w:hint="eastAsia"/>
          <w:color w:val="auto"/>
          <w:sz w:val="24"/>
          <w:lang w:val="en-US" w:eastAsia="zh-CN"/>
        </w:rPr>
        <w:t>6</w:t>
      </w:r>
      <w:r>
        <w:rPr>
          <w:rFonts w:hint="eastAsia"/>
          <w:color w:val="auto"/>
          <w:sz w:val="24"/>
        </w:rPr>
        <w:t>月</w:t>
      </w:r>
      <w:r>
        <w:rPr>
          <w:rFonts w:hint="eastAsia"/>
          <w:color w:val="auto"/>
          <w:sz w:val="24"/>
          <w:lang w:val="en-US" w:eastAsia="zh-CN"/>
        </w:rPr>
        <w:t>10</w:t>
      </w:r>
      <w:r>
        <w:rPr>
          <w:rFonts w:hint="eastAsia"/>
          <w:color w:val="auto"/>
          <w:sz w:val="24"/>
        </w:rPr>
        <w:t>日</w:t>
      </w:r>
      <w:r>
        <w:rPr>
          <w:rFonts w:hint="eastAsia"/>
          <w:color w:val="auto"/>
          <w:sz w:val="24"/>
          <w:lang w:eastAsia="zh-CN"/>
        </w:rPr>
        <w:t>上午</w:t>
      </w:r>
      <w:r>
        <w:rPr>
          <w:rFonts w:hint="eastAsia"/>
          <w:color w:val="auto"/>
          <w:sz w:val="24"/>
          <w:lang w:val="en-US" w:eastAsia="zh-CN"/>
        </w:rPr>
        <w:t>12</w:t>
      </w:r>
      <w:r>
        <w:rPr>
          <w:rFonts w:hint="eastAsia"/>
          <w:color w:val="auto"/>
          <w:sz w:val="24"/>
        </w:rPr>
        <w:t>：</w:t>
      </w:r>
      <w:r>
        <w:rPr>
          <w:rFonts w:hint="eastAsia"/>
          <w:color w:val="auto"/>
          <w:sz w:val="24"/>
          <w:lang w:val="en-US" w:eastAsia="zh-CN"/>
        </w:rPr>
        <w:t>00</w:t>
      </w:r>
      <w:r>
        <w:rPr>
          <w:rFonts w:hint="eastAsia"/>
          <w:color w:val="auto"/>
          <w:sz w:val="24"/>
        </w:rPr>
        <w:t>（</w:t>
      </w:r>
      <w:r>
        <w:rPr>
          <w:rFonts w:hint="eastAsia"/>
          <w:sz w:val="24"/>
        </w:rPr>
        <w:t>每日上午8:00~12:00，下午2:</w:t>
      </w:r>
      <w:r>
        <w:rPr>
          <w:rFonts w:hint="eastAsia"/>
          <w:sz w:val="24"/>
          <w:lang w:val="en-US" w:eastAsia="zh-CN"/>
        </w:rPr>
        <w:t>00</w:t>
      </w:r>
      <w:r>
        <w:rPr>
          <w:rFonts w:hint="eastAsia"/>
          <w:sz w:val="24"/>
        </w:rPr>
        <w:t>~5:</w:t>
      </w:r>
      <w:r>
        <w:rPr>
          <w:rFonts w:hint="eastAsia"/>
          <w:sz w:val="24"/>
          <w:lang w:val="en-US" w:eastAsia="zh-CN"/>
        </w:rPr>
        <w:t>00</w:t>
      </w:r>
      <w:r>
        <w:rPr>
          <w:rFonts w:hint="eastAsia"/>
          <w:sz w:val="24"/>
        </w:rPr>
        <w:t>，北京时间，法定节假日除外，下同）</w:t>
      </w:r>
    </w:p>
    <w:p>
      <w:pPr>
        <w:spacing w:line="360" w:lineRule="auto"/>
        <w:ind w:firstLine="480" w:firstLineChars="200"/>
        <w:rPr>
          <w:sz w:val="24"/>
        </w:rPr>
      </w:pPr>
      <w:r>
        <w:rPr>
          <w:rFonts w:hint="eastAsia"/>
          <w:sz w:val="24"/>
        </w:rPr>
        <w:t>投标文件送达地点：江苏省中医院设备处（南京市汉中路155号5号楼41</w:t>
      </w:r>
      <w:r>
        <w:rPr>
          <w:rFonts w:hint="eastAsia"/>
          <w:sz w:val="24"/>
          <w:lang w:val="en-US" w:eastAsia="zh-CN"/>
        </w:rPr>
        <w:t>6</w:t>
      </w:r>
      <w:r>
        <w:rPr>
          <w:rFonts w:hint="eastAsia"/>
          <w:sz w:val="24"/>
        </w:rPr>
        <w:t>室）</w:t>
      </w:r>
    </w:p>
    <w:p>
      <w:pPr>
        <w:spacing w:line="360" w:lineRule="auto"/>
        <w:ind w:left="540" w:hanging="542" w:hangingChars="225"/>
        <w:rPr>
          <w:rFonts w:hint="eastAsia" w:ascii="楷体" w:hAnsi="楷体" w:eastAsia="楷体" w:cs="楷体"/>
          <w:b/>
          <w:bCs/>
          <w:color w:val="000000"/>
          <w:sz w:val="24"/>
        </w:rPr>
      </w:pPr>
      <w:r>
        <w:rPr>
          <w:rFonts w:hint="eastAsia" w:ascii="楷体" w:hAnsi="楷体" w:eastAsia="楷体" w:cs="楷体"/>
          <w:b/>
          <w:bCs/>
          <w:color w:val="000000"/>
          <w:sz w:val="24"/>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sz w:val="24"/>
        </w:rPr>
      </w:pPr>
      <w:r>
        <w:rPr>
          <w:rFonts w:hint="eastAsia" w:ascii="楷体" w:hAnsi="楷体" w:eastAsia="楷体" w:cs="楷体"/>
          <w:b/>
          <w:bCs/>
          <w:sz w:val="24"/>
        </w:rPr>
        <w:t>六、招标联系事项</w:t>
      </w:r>
    </w:p>
    <w:p>
      <w:pPr>
        <w:spacing w:line="360" w:lineRule="auto"/>
        <w:ind w:firstLine="480" w:firstLineChars="200"/>
        <w:rPr>
          <w:rFonts w:hint="default" w:eastAsia="宋体"/>
          <w:sz w:val="24"/>
          <w:lang w:val="en-US" w:eastAsia="zh-CN"/>
        </w:rPr>
      </w:pPr>
      <w:r>
        <w:rPr>
          <w:rFonts w:hint="eastAsia"/>
          <w:sz w:val="24"/>
        </w:rPr>
        <w:t>联系人：</w:t>
      </w:r>
      <w:r>
        <w:rPr>
          <w:rFonts w:hint="eastAsia"/>
          <w:sz w:val="24"/>
          <w:lang w:eastAsia="zh-CN"/>
        </w:rPr>
        <w:t>蔡老师</w:t>
      </w:r>
      <w:r>
        <w:rPr>
          <w:rFonts w:hint="eastAsia"/>
          <w:sz w:val="24"/>
          <w:lang w:val="en-US" w:eastAsia="zh-CN"/>
        </w:rPr>
        <w:t>。</w:t>
      </w:r>
    </w:p>
    <w:p>
      <w:pPr>
        <w:spacing w:line="360" w:lineRule="auto"/>
        <w:ind w:firstLine="480" w:firstLineChars="200"/>
        <w:rPr>
          <w:sz w:val="24"/>
        </w:rPr>
      </w:pPr>
      <w:r>
        <w:rPr>
          <w:rFonts w:hint="eastAsia"/>
          <w:sz w:val="24"/>
        </w:rPr>
        <w:t>联系方式：025-86617141-5041</w:t>
      </w:r>
      <w:r>
        <w:rPr>
          <w:rFonts w:hint="eastAsia"/>
          <w:sz w:val="24"/>
          <w:lang w:val="en-US" w:eastAsia="zh-CN"/>
        </w:rPr>
        <w:t>6</w:t>
      </w:r>
      <w:r>
        <w:rPr>
          <w:rFonts w:hint="eastAsia"/>
          <w:sz w:val="24"/>
        </w:rPr>
        <w:t xml:space="preserve">   </w:t>
      </w:r>
    </w:p>
    <w:p>
      <w:pPr>
        <w:ind w:firstLine="480" w:firstLineChars="200"/>
        <w:rPr>
          <w:sz w:val="24"/>
        </w:rPr>
      </w:pPr>
      <w:r>
        <w:rPr>
          <w:rFonts w:hint="eastAsia"/>
          <w:sz w:val="24"/>
        </w:rPr>
        <w:t>地址：南京市汉中路155号</w:t>
      </w:r>
      <w:r>
        <w:rPr>
          <w:rFonts w:hint="eastAsia"/>
          <w:sz w:val="24"/>
          <w:lang w:eastAsia="zh-CN"/>
        </w:rPr>
        <w:t>江苏省中医院</w:t>
      </w:r>
      <w:r>
        <w:rPr>
          <w:rFonts w:hint="eastAsia"/>
          <w:sz w:val="24"/>
        </w:rPr>
        <w:t>5号楼41</w:t>
      </w:r>
      <w:r>
        <w:rPr>
          <w:rFonts w:hint="eastAsia"/>
          <w:sz w:val="24"/>
          <w:lang w:val="en-US" w:eastAsia="zh-CN"/>
        </w:rPr>
        <w:t>6</w:t>
      </w:r>
      <w:r>
        <w:rPr>
          <w:rFonts w:hint="eastAsia"/>
          <w:sz w:val="24"/>
        </w:rPr>
        <w:t>室     邮编：210029</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5DD12B9"/>
    <w:rsid w:val="067009A1"/>
    <w:rsid w:val="0D050B4E"/>
    <w:rsid w:val="16421AC3"/>
    <w:rsid w:val="16792915"/>
    <w:rsid w:val="1B25511A"/>
    <w:rsid w:val="1C2B099F"/>
    <w:rsid w:val="23E84E53"/>
    <w:rsid w:val="259B5FBF"/>
    <w:rsid w:val="2A1D1669"/>
    <w:rsid w:val="30457B1E"/>
    <w:rsid w:val="33A2360A"/>
    <w:rsid w:val="37480B70"/>
    <w:rsid w:val="3C5A2934"/>
    <w:rsid w:val="3F857683"/>
    <w:rsid w:val="3F8A2409"/>
    <w:rsid w:val="4086138B"/>
    <w:rsid w:val="44062775"/>
    <w:rsid w:val="463437B9"/>
    <w:rsid w:val="49C82FF6"/>
    <w:rsid w:val="4CD126A5"/>
    <w:rsid w:val="4EBF2B5A"/>
    <w:rsid w:val="52144BA1"/>
    <w:rsid w:val="562D075A"/>
    <w:rsid w:val="56CD7E4C"/>
    <w:rsid w:val="5B1F6560"/>
    <w:rsid w:val="5D1A2FE2"/>
    <w:rsid w:val="621A629C"/>
    <w:rsid w:val="66257E30"/>
    <w:rsid w:val="6D174BB2"/>
    <w:rsid w:val="75E03378"/>
    <w:rsid w:val="761F79CC"/>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widowControl w:val="0"/>
      <w:adjustRightInd/>
      <w:snapToGrid/>
      <w:spacing w:after="0"/>
      <w:ind w:firstLine="420" w:firstLineChars="200"/>
      <w:jc w:val="both"/>
    </w:pPr>
    <w:rPr>
      <w:rFonts w:ascii="Times New Roman" w:hAnsi="Times New Roman" w:eastAsia="宋体" w:cs="Times New Roman"/>
      <w:kern w:val="2"/>
      <w:sz w:val="21"/>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1</TotalTime>
  <ScaleCrop>false</ScaleCrop>
  <LinksUpToDate>false</LinksUpToDate>
  <CharactersWithSpaces>1019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2021-06-02T16:06:27Z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