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江苏省中医院</w:t>
      </w:r>
      <w:r>
        <w:rPr>
          <w:rFonts w:hint="eastAsia" w:ascii="黑体" w:hAnsi="黑体" w:eastAsia="黑体" w:cs="黑体"/>
          <w:b/>
          <w:sz w:val="36"/>
          <w:szCs w:val="36"/>
          <w:lang w:eastAsia="zh-CN"/>
        </w:rPr>
        <w:t>小型</w:t>
      </w:r>
      <w:r>
        <w:rPr>
          <w:rFonts w:hint="eastAsia" w:ascii="黑体" w:hAnsi="黑体" w:eastAsia="黑体" w:cs="黑体"/>
          <w:b/>
          <w:sz w:val="36"/>
          <w:szCs w:val="36"/>
        </w:rPr>
        <w:t>医疗设备</w:t>
      </w:r>
      <w:r>
        <w:rPr>
          <w:rFonts w:hint="eastAsia" w:ascii="黑体" w:hAnsi="黑体" w:eastAsia="黑体" w:cs="黑体"/>
          <w:b/>
          <w:sz w:val="36"/>
          <w:szCs w:val="36"/>
          <w:lang w:eastAsia="zh-CN"/>
        </w:rPr>
        <w:t>（协议供货）</w:t>
      </w:r>
      <w:r>
        <w:rPr>
          <w:rFonts w:hint="eastAsia" w:ascii="黑体" w:hAnsi="黑体" w:eastAsia="黑体" w:cs="黑体"/>
          <w:b/>
          <w:sz w:val="36"/>
          <w:szCs w:val="36"/>
        </w:rPr>
        <w:t xml:space="preserve">招标公告- </w:t>
      </w:r>
    </w:p>
    <w:p>
      <w:pPr>
        <w:spacing w:line="360" w:lineRule="auto"/>
        <w:jc w:val="center"/>
        <w:rPr>
          <w:rFonts w:hint="eastAsia"/>
          <w:b/>
          <w:sz w:val="30"/>
          <w:szCs w:val="30"/>
          <w:lang w:eastAsia="zh-CN"/>
        </w:rPr>
      </w:pPr>
      <w:r>
        <w:rPr>
          <w:rFonts w:hint="eastAsia"/>
          <w:b/>
          <w:sz w:val="30"/>
          <w:szCs w:val="30"/>
          <w:lang w:eastAsia="zh-CN"/>
        </w:rPr>
        <w:t>电针仪、特定电磁波治疗仪、药物振荡仪、腕式电子血压计、臂式电子血压计、水银血压计、单用听诊器、体重秤、紫外线消毒灯车、紫外线灯管、电子甩体温表器、额温枪、电动吸引器、手术反光灯（鹅颈灯）、冷光单孔照明灯</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电针仪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特定电磁波治疗仪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药物振荡仪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腕式电子血压计</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臂式电子血压计</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水银血压计</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单用听诊器</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体重秤</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紫外线消毒灯车</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val="en-US" w:eastAsia="zh-CN"/>
              </w:rPr>
            </w:pPr>
            <w:r>
              <w:rPr>
                <w:rFonts w:hint="eastAsia" w:cs="Times New Roman" w:eastAsiaTheme="minorEastAsia"/>
                <w:b w:val="0"/>
                <w:bCs/>
                <w:sz w:val="24"/>
                <w:szCs w:val="24"/>
                <w:lang w:eastAsia="zh-CN"/>
              </w:rPr>
              <w:t>紫外线灯管（多个型号）</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val="en-US" w:eastAsia="zh-CN"/>
              </w:rPr>
            </w:pPr>
            <w:r>
              <w:rPr>
                <w:rFonts w:hint="eastAsia" w:cs="Times New Roman" w:eastAsiaTheme="minorEastAsia"/>
                <w:b w:val="0"/>
                <w:bCs/>
                <w:sz w:val="24"/>
                <w:szCs w:val="24"/>
                <w:lang w:eastAsia="zh-CN"/>
              </w:rPr>
              <w:t>电子甩体温表器</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额温枪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26"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13</w:t>
            </w:r>
          </w:p>
        </w:tc>
        <w:tc>
          <w:tcPr>
            <w:tcW w:w="3275"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电动吸引器</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14</w:t>
            </w:r>
          </w:p>
        </w:tc>
        <w:tc>
          <w:tcPr>
            <w:tcW w:w="3275"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手术反光灯（鹅颈灯）</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57"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15</w:t>
            </w:r>
          </w:p>
        </w:tc>
        <w:tc>
          <w:tcPr>
            <w:tcW w:w="3275"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b w:val="0"/>
                <w:bCs/>
                <w:sz w:val="24"/>
                <w:szCs w:val="24"/>
                <w:lang w:eastAsia="zh-CN"/>
              </w:rPr>
            </w:pPr>
            <w:r>
              <w:rPr>
                <w:rFonts w:hint="eastAsia" w:cs="Times New Roman" w:eastAsiaTheme="minorEastAsia"/>
                <w:b w:val="0"/>
                <w:bCs/>
                <w:sz w:val="24"/>
                <w:szCs w:val="24"/>
                <w:lang w:eastAsia="zh-CN"/>
              </w:rPr>
              <w:t>冷光单孔照明灯</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21</w:t>
      </w:r>
      <w:r>
        <w:rPr>
          <w:rFonts w:hint="eastAsia"/>
          <w:color w:val="auto"/>
          <w:sz w:val="24"/>
        </w:rPr>
        <w:t>日</w:t>
      </w:r>
      <w:r>
        <w:rPr>
          <w:rFonts w:hint="eastAsia"/>
          <w:color w:val="auto"/>
          <w:sz w:val="24"/>
          <w:lang w:eastAsia="zh-CN"/>
        </w:rPr>
        <w:t>下午</w:t>
      </w:r>
      <w:r>
        <w:rPr>
          <w:rFonts w:hint="eastAsia"/>
          <w:color w:val="auto"/>
          <w:sz w:val="24"/>
          <w:lang w:val="en-US" w:eastAsia="zh-CN"/>
        </w:rPr>
        <w:t>4</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bookmarkStart w:id="0" w:name="_GoBack"/>
      <w:bookmarkEnd w:id="0"/>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215012"/>
    <w:rsid w:val="056A3029"/>
    <w:rsid w:val="05A53369"/>
    <w:rsid w:val="05DD12B9"/>
    <w:rsid w:val="067009A1"/>
    <w:rsid w:val="0D050B4E"/>
    <w:rsid w:val="13DD40A7"/>
    <w:rsid w:val="16421AC3"/>
    <w:rsid w:val="16A6771F"/>
    <w:rsid w:val="1B25511A"/>
    <w:rsid w:val="1C2157C6"/>
    <w:rsid w:val="23E84E53"/>
    <w:rsid w:val="259B5FBF"/>
    <w:rsid w:val="2A1D1669"/>
    <w:rsid w:val="30323924"/>
    <w:rsid w:val="33A2360A"/>
    <w:rsid w:val="370C30C1"/>
    <w:rsid w:val="37480B70"/>
    <w:rsid w:val="3B487EEC"/>
    <w:rsid w:val="3C386434"/>
    <w:rsid w:val="3C5A2934"/>
    <w:rsid w:val="3E010F72"/>
    <w:rsid w:val="3F857683"/>
    <w:rsid w:val="43880CFA"/>
    <w:rsid w:val="44062775"/>
    <w:rsid w:val="463437B9"/>
    <w:rsid w:val="49C82FF6"/>
    <w:rsid w:val="4CD126A5"/>
    <w:rsid w:val="4EBF2B5A"/>
    <w:rsid w:val="50B01590"/>
    <w:rsid w:val="52144BA1"/>
    <w:rsid w:val="52356762"/>
    <w:rsid w:val="54044D6E"/>
    <w:rsid w:val="562D075A"/>
    <w:rsid w:val="58F96DA7"/>
    <w:rsid w:val="5D1A2FE2"/>
    <w:rsid w:val="621A629C"/>
    <w:rsid w:val="641D3B9E"/>
    <w:rsid w:val="66257E30"/>
    <w:rsid w:val="66D813CF"/>
    <w:rsid w:val="68B153D6"/>
    <w:rsid w:val="6D174BB2"/>
    <w:rsid w:val="6FB1376C"/>
    <w:rsid w:val="75E03378"/>
    <w:rsid w:val="761F79CC"/>
    <w:rsid w:val="78B07252"/>
    <w:rsid w:val="7A8A2C5A"/>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2021-04-14T07:42:26Z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